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E6CA" w14:textId="77777777" w:rsidR="00273D09" w:rsidRDefault="00273D09" w:rsidP="006C4396">
      <w:pPr>
        <w:pStyle w:val="NoSpacing"/>
        <w:rPr>
          <w:sz w:val="28"/>
          <w:szCs w:val="28"/>
        </w:rPr>
      </w:pPr>
      <w:bookmarkStart w:id="0" w:name="_GoBack"/>
      <w:bookmarkEnd w:id="0"/>
      <w:r>
        <w:rPr>
          <w:sz w:val="28"/>
          <w:szCs w:val="28"/>
        </w:rPr>
        <w:tab/>
        <w:t xml:space="preserve">  </w:t>
      </w:r>
      <w:r w:rsidR="0077692A">
        <w:rPr>
          <w:noProof/>
        </w:rPr>
        <w:drawing>
          <wp:inline distT="0" distB="0" distL="0" distR="0" wp14:anchorId="59C28D48" wp14:editId="17B2EC35">
            <wp:extent cx="2291715" cy="66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715" cy="664845"/>
                    </a:xfrm>
                    <a:prstGeom prst="rect">
                      <a:avLst/>
                    </a:prstGeom>
                    <a:noFill/>
                    <a:ln>
                      <a:noFill/>
                    </a:ln>
                  </pic:spPr>
                </pic:pic>
              </a:graphicData>
            </a:graphic>
          </wp:inline>
        </w:drawing>
      </w:r>
      <w:r>
        <w:rPr>
          <w:sz w:val="28"/>
          <w:szCs w:val="28"/>
        </w:rPr>
        <w:t xml:space="preserve">                    </w:t>
      </w:r>
      <w:r w:rsidR="0077692A">
        <w:rPr>
          <w:b/>
          <w:noProof/>
        </w:rPr>
        <w:drawing>
          <wp:inline distT="0" distB="0" distL="0" distR="0" wp14:anchorId="461C7A0E" wp14:editId="4D834BE5">
            <wp:extent cx="1626870" cy="104521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870" cy="1045210"/>
                    </a:xfrm>
                    <a:prstGeom prst="rect">
                      <a:avLst/>
                    </a:prstGeom>
                    <a:noFill/>
                    <a:ln>
                      <a:noFill/>
                    </a:ln>
                  </pic:spPr>
                </pic:pic>
              </a:graphicData>
            </a:graphic>
          </wp:inline>
        </w:drawing>
      </w:r>
    </w:p>
    <w:p w14:paraId="49F2CB6B" w14:textId="77777777" w:rsidR="00273D09" w:rsidRDefault="00273D09" w:rsidP="006C4396">
      <w:pPr>
        <w:pStyle w:val="NoSpacing"/>
        <w:rPr>
          <w:sz w:val="28"/>
          <w:szCs w:val="28"/>
        </w:rPr>
      </w:pPr>
    </w:p>
    <w:p w14:paraId="0272A144" w14:textId="77777777" w:rsidR="00273D09" w:rsidRPr="00FF0E07" w:rsidRDefault="00273D09" w:rsidP="00FF0E07">
      <w:pPr>
        <w:pStyle w:val="NoSpacing"/>
        <w:jc w:val="center"/>
        <w:rPr>
          <w:b/>
          <w:sz w:val="28"/>
          <w:szCs w:val="28"/>
        </w:rPr>
      </w:pPr>
      <w:r w:rsidRPr="00FF0E07">
        <w:rPr>
          <w:b/>
          <w:sz w:val="28"/>
          <w:szCs w:val="28"/>
        </w:rPr>
        <w:t>The Facts about Sarcopenia</w:t>
      </w:r>
    </w:p>
    <w:p w14:paraId="02A15592" w14:textId="77777777" w:rsidR="00273D09" w:rsidRDefault="00273D09" w:rsidP="0053340B">
      <w:pPr>
        <w:pStyle w:val="NoSpacing"/>
        <w:rPr>
          <w:u w:val="single"/>
        </w:rPr>
      </w:pPr>
    </w:p>
    <w:p w14:paraId="025C676F" w14:textId="77777777" w:rsidR="00273D09" w:rsidRPr="00A712B4" w:rsidRDefault="00273D09" w:rsidP="0053340B">
      <w:pPr>
        <w:pStyle w:val="NoSpacing"/>
        <w:rPr>
          <w:rFonts w:cs="Calibri"/>
          <w:u w:val="single"/>
        </w:rPr>
      </w:pPr>
      <w:r w:rsidRPr="00A712B4">
        <w:rPr>
          <w:rFonts w:cs="Calibri"/>
          <w:u w:val="single"/>
        </w:rPr>
        <w:t>Definition:</w:t>
      </w:r>
    </w:p>
    <w:p w14:paraId="2DF8C9F0" w14:textId="77777777" w:rsidR="00273D09" w:rsidRPr="00A712B4" w:rsidRDefault="00273D09" w:rsidP="00374DC9">
      <w:pPr>
        <w:pStyle w:val="NoSpacing"/>
        <w:numPr>
          <w:ilvl w:val="0"/>
          <w:numId w:val="1"/>
        </w:numPr>
        <w:rPr>
          <w:rFonts w:cs="Calibri"/>
        </w:rPr>
      </w:pPr>
      <w:r w:rsidRPr="00A712B4">
        <w:rPr>
          <w:rFonts w:cs="Calibri"/>
        </w:rPr>
        <w:t>Sarcopenia is the progressive loss of skeletal muscle that comes with aging.  Most people begin to lose modest amounts of muscle mass after age 30, but the resulting loss of strength increases exponentially with age.</w:t>
      </w:r>
    </w:p>
    <w:p w14:paraId="3C67CC61" w14:textId="77777777" w:rsidR="00273D09" w:rsidRDefault="00273D09" w:rsidP="0053340B">
      <w:pPr>
        <w:pStyle w:val="NoSpacing"/>
      </w:pPr>
    </w:p>
    <w:p w14:paraId="75186DE1" w14:textId="77777777" w:rsidR="00273D09" w:rsidRPr="0053340B" w:rsidRDefault="00273D09" w:rsidP="00374DC9">
      <w:pPr>
        <w:pStyle w:val="NoSpacing"/>
        <w:numPr>
          <w:ilvl w:val="0"/>
          <w:numId w:val="1"/>
        </w:numPr>
        <w:rPr>
          <w:i/>
        </w:rPr>
      </w:pPr>
      <w:r w:rsidRPr="0053340B">
        <w:t>Possible effects of sarcopenia include decreased muscle strength, problems with mobility, frailty, weak bones (osteoporosis), falls and fractures, decreased activity levels, diabetes, middle-age weight gain and a</w:t>
      </w:r>
      <w:r w:rsidRPr="00374DC9">
        <w:rPr>
          <w:b/>
        </w:rPr>
        <w:t xml:space="preserve"> </w:t>
      </w:r>
      <w:r w:rsidRPr="00374DC9">
        <w:rPr>
          <w:b/>
          <w:i/>
        </w:rPr>
        <w:t>loss of physical function and independence.</w:t>
      </w:r>
    </w:p>
    <w:p w14:paraId="453C4195" w14:textId="77777777" w:rsidR="00273D09" w:rsidRPr="0053340B" w:rsidRDefault="00273D09" w:rsidP="0053340B">
      <w:pPr>
        <w:pStyle w:val="NoSpacing"/>
      </w:pPr>
    </w:p>
    <w:p w14:paraId="33ACB9E3" w14:textId="77777777" w:rsidR="00273D09" w:rsidRPr="00E61F64" w:rsidRDefault="00273D09" w:rsidP="00E61F64">
      <w:pPr>
        <w:pStyle w:val="NoSpacing"/>
        <w:rPr>
          <w:u w:val="single"/>
        </w:rPr>
      </w:pPr>
      <w:r w:rsidRPr="00E61F64">
        <w:rPr>
          <w:u w:val="single"/>
        </w:rPr>
        <w:t>Sarcopenia and the aging population:</w:t>
      </w:r>
    </w:p>
    <w:p w14:paraId="0463FB41" w14:textId="77777777" w:rsidR="00273D09" w:rsidRDefault="00273D09" w:rsidP="00E61F64">
      <w:pPr>
        <w:pStyle w:val="NoSpacing"/>
        <w:numPr>
          <w:ilvl w:val="0"/>
          <w:numId w:val="5"/>
        </w:numPr>
        <w:rPr>
          <w:sz w:val="16"/>
          <w:szCs w:val="16"/>
        </w:rPr>
      </w:pPr>
      <w:r>
        <w:t xml:space="preserve">The population </w:t>
      </w:r>
      <w:r w:rsidR="0051075E">
        <w:t xml:space="preserve">age </w:t>
      </w:r>
      <w:r>
        <w:t>65</w:t>
      </w:r>
      <w:r w:rsidR="0051075E">
        <w:t xml:space="preserve"> and over</w:t>
      </w:r>
      <w:r>
        <w:t xml:space="preserve"> increased from 35 million in 2000 to 40 million in 2010 (a 15% increase) and then to 55 million in 2020 (a 36% increase for that decade). By 2030, there will be about 72.1 million older persons, almost twice their number in 2008. </w:t>
      </w:r>
      <w:r w:rsidRPr="00443BD2">
        <w:rPr>
          <w:sz w:val="16"/>
          <w:szCs w:val="16"/>
        </w:rPr>
        <w:t>(“A Profile of Older Americans 2010.” Administration on Aging</w:t>
      </w:r>
      <w:r>
        <w:rPr>
          <w:sz w:val="16"/>
          <w:szCs w:val="16"/>
        </w:rPr>
        <w:t xml:space="preserve">. </w:t>
      </w:r>
      <w:r w:rsidRPr="00443BD2">
        <w:rPr>
          <w:sz w:val="16"/>
          <w:szCs w:val="16"/>
        </w:rPr>
        <w:t xml:space="preserve"> </w:t>
      </w:r>
      <w:hyperlink r:id="rId7" w:history="1">
        <w:r w:rsidRPr="000A676A">
          <w:rPr>
            <w:rStyle w:val="Hyperlink"/>
            <w:sz w:val="16"/>
            <w:szCs w:val="16"/>
          </w:rPr>
          <w:t>http://www.aoa.gov/aoaroot/aging_statistics/Profile/2010/4.aspx 28 Sept 2011</w:t>
        </w:r>
      </w:hyperlink>
      <w:r>
        <w:rPr>
          <w:sz w:val="16"/>
          <w:szCs w:val="16"/>
        </w:rPr>
        <w:t>)</w:t>
      </w:r>
    </w:p>
    <w:p w14:paraId="0AAAB286" w14:textId="77777777" w:rsidR="00273D09" w:rsidRDefault="00273D09" w:rsidP="00E61F64">
      <w:pPr>
        <w:pStyle w:val="NoSpacing"/>
        <w:ind w:left="720"/>
        <w:rPr>
          <w:sz w:val="16"/>
          <w:szCs w:val="16"/>
        </w:rPr>
      </w:pPr>
    </w:p>
    <w:p w14:paraId="518F8436" w14:textId="77777777" w:rsidR="00273D09" w:rsidRPr="00E61F64" w:rsidRDefault="00273D09" w:rsidP="00E61F64">
      <w:pPr>
        <w:pStyle w:val="NoSpacing"/>
        <w:numPr>
          <w:ilvl w:val="0"/>
          <w:numId w:val="5"/>
        </w:numPr>
        <w:rPr>
          <w:rFonts w:cs="Calibri"/>
        </w:rPr>
      </w:pPr>
      <w:r>
        <w:rPr>
          <w:rFonts w:cs="Calibri"/>
        </w:rPr>
        <w:t xml:space="preserve">In 2000, 1.5 </w:t>
      </w:r>
      <w:proofErr w:type="spellStart"/>
      <w:r>
        <w:rPr>
          <w:rFonts w:cs="Calibri"/>
        </w:rPr>
        <w:t>milllion</w:t>
      </w:r>
      <w:proofErr w:type="spellEnd"/>
      <w:r>
        <w:rPr>
          <w:rFonts w:cs="Calibri"/>
        </w:rPr>
        <w:t xml:space="preserve"> people were institutionalized, and 33% of these people were admitted to long-term health care facilities because of their inability to perform activities of daily living.  </w:t>
      </w:r>
      <w:r>
        <w:rPr>
          <w:rFonts w:cs="Calibri"/>
          <w:sz w:val="16"/>
          <w:szCs w:val="16"/>
        </w:rPr>
        <w:t xml:space="preserve">(Thompson, D.D. (2007).  Aging and sarcopenia. </w:t>
      </w:r>
      <w:r>
        <w:rPr>
          <w:rFonts w:cs="Calibri"/>
          <w:i/>
          <w:sz w:val="16"/>
          <w:szCs w:val="16"/>
        </w:rPr>
        <w:t xml:space="preserve">Journal of Musculoskeletal &amp; Neuronal Interactions, 7, </w:t>
      </w:r>
      <w:r>
        <w:rPr>
          <w:rFonts w:cs="Calibri"/>
          <w:sz w:val="16"/>
          <w:szCs w:val="16"/>
        </w:rPr>
        <w:t>344-345.)</w:t>
      </w:r>
    </w:p>
    <w:p w14:paraId="09CFFB0A" w14:textId="77777777" w:rsidR="00273D09" w:rsidRDefault="00273D09" w:rsidP="00E61F64">
      <w:pPr>
        <w:pStyle w:val="NoSpacing"/>
        <w:ind w:left="720"/>
        <w:rPr>
          <w:sz w:val="16"/>
          <w:szCs w:val="16"/>
        </w:rPr>
      </w:pPr>
    </w:p>
    <w:p w14:paraId="0ADE65EF" w14:textId="77777777" w:rsidR="00273D09" w:rsidRPr="00E61F64" w:rsidRDefault="00273D09" w:rsidP="00E61F64">
      <w:pPr>
        <w:pStyle w:val="NoSpacing"/>
        <w:numPr>
          <w:ilvl w:val="0"/>
          <w:numId w:val="5"/>
        </w:numPr>
      </w:pPr>
      <w:r w:rsidRPr="0053340B">
        <w:t>Sarcopenia is thought to affect 30% of individuals over 60 years of age and more than 50% of people over 80 years.</w:t>
      </w:r>
      <w:r w:rsidRPr="00443BD2">
        <w:rPr>
          <w:sz w:val="16"/>
          <w:szCs w:val="16"/>
        </w:rPr>
        <w:t xml:space="preserve"> (Baumgartner RN, Koehler KM, Gallagher D, et al. Epidemiology of sarcopenia among the elderly in New Mexico. American Journal of Epidemiology 1998; 147:755–763.)</w:t>
      </w:r>
    </w:p>
    <w:p w14:paraId="10F93740" w14:textId="77777777" w:rsidR="00273D09" w:rsidRPr="00374DC9" w:rsidRDefault="00273D09" w:rsidP="00E61F64">
      <w:pPr>
        <w:pStyle w:val="NoSpacing"/>
      </w:pPr>
    </w:p>
    <w:p w14:paraId="43C95948" w14:textId="77777777" w:rsidR="00273D09" w:rsidRPr="00443BD2" w:rsidRDefault="00273D09" w:rsidP="00E61F64">
      <w:pPr>
        <w:pStyle w:val="NoSpacing"/>
        <w:numPr>
          <w:ilvl w:val="0"/>
          <w:numId w:val="5"/>
        </w:numPr>
        <w:rPr>
          <w:sz w:val="16"/>
          <w:szCs w:val="16"/>
        </w:rPr>
      </w:pPr>
      <w:r w:rsidRPr="0053340B">
        <w:t>Recent estimates indicate that approximately 45% of the</w:t>
      </w:r>
      <w:r w:rsidRPr="00374DC9">
        <w:rPr>
          <w:rFonts w:cs="Calibri"/>
        </w:rPr>
        <w:t xml:space="preserve"> older </w:t>
      </w:r>
      <w:smartTag w:uri="urn:schemas-microsoft-com:office:smarttags" w:element="place">
        <w:smartTag w:uri="urn:schemas-microsoft-com:office:smarttags" w:element="country-region">
          <w:r w:rsidRPr="00374DC9">
            <w:rPr>
              <w:rFonts w:cs="Calibri"/>
            </w:rPr>
            <w:t>U.S.</w:t>
          </w:r>
        </w:smartTag>
      </w:smartTag>
      <w:r w:rsidRPr="00374DC9">
        <w:rPr>
          <w:rFonts w:cs="Calibri"/>
        </w:rPr>
        <w:t xml:space="preserve"> population is affected by sarcopenia</w:t>
      </w:r>
      <w:r>
        <w:rPr>
          <w:rFonts w:cs="Calibri"/>
        </w:rPr>
        <w:t>.</w:t>
      </w:r>
      <w:r w:rsidRPr="00374DC9">
        <w:rPr>
          <w:rFonts w:cs="Calibri"/>
        </w:rPr>
        <w:t xml:space="preserve"> </w:t>
      </w:r>
      <w:r>
        <w:rPr>
          <w:rFonts w:cs="Calibri"/>
        </w:rPr>
        <w:t>That equates to 18 million people in 2010, a number that will only continue to rise.</w:t>
      </w:r>
      <w:r w:rsidRPr="00374DC9">
        <w:rPr>
          <w:rFonts w:cs="Calibri"/>
        </w:rPr>
        <w:t xml:space="preserve"> </w:t>
      </w:r>
      <w:r w:rsidRPr="00443BD2">
        <w:rPr>
          <w:rFonts w:cs="Calibri"/>
          <w:sz w:val="16"/>
          <w:szCs w:val="16"/>
        </w:rPr>
        <w:t xml:space="preserve">(Janssen I, Shepard </w:t>
      </w:r>
      <w:proofErr w:type="gramStart"/>
      <w:r w:rsidRPr="00443BD2">
        <w:rPr>
          <w:rFonts w:cs="Calibri"/>
          <w:sz w:val="16"/>
          <w:szCs w:val="16"/>
        </w:rPr>
        <w:t xml:space="preserve">DS,  </w:t>
      </w:r>
      <w:proofErr w:type="spellStart"/>
      <w:r w:rsidRPr="00443BD2">
        <w:rPr>
          <w:rFonts w:cs="Calibri"/>
          <w:sz w:val="16"/>
          <w:szCs w:val="16"/>
        </w:rPr>
        <w:t>Katzmarzyk</w:t>
      </w:r>
      <w:proofErr w:type="spellEnd"/>
      <w:proofErr w:type="gramEnd"/>
      <w:r w:rsidRPr="00443BD2">
        <w:rPr>
          <w:rFonts w:cs="Calibri"/>
          <w:sz w:val="16"/>
          <w:szCs w:val="16"/>
        </w:rPr>
        <w:t xml:space="preserve"> PT, Roubenoff R. The Healthcare Costs of Sarcopenia in the </w:t>
      </w:r>
      <w:smartTag w:uri="urn:schemas-microsoft-com:office:smarttags" w:element="place">
        <w:smartTag w:uri="urn:schemas-microsoft-com:office:smarttags" w:element="country-region">
          <w:r w:rsidRPr="00443BD2">
            <w:rPr>
              <w:rFonts w:cs="Calibri"/>
              <w:sz w:val="16"/>
              <w:szCs w:val="16"/>
            </w:rPr>
            <w:t>United States</w:t>
          </w:r>
        </w:smartTag>
      </w:smartTag>
      <w:r w:rsidRPr="00443BD2">
        <w:rPr>
          <w:rFonts w:cs="Calibri"/>
          <w:sz w:val="16"/>
          <w:szCs w:val="16"/>
        </w:rPr>
        <w:t>.</w:t>
      </w:r>
      <w:r w:rsidRPr="00443BD2">
        <w:rPr>
          <w:rFonts w:cs="Calibri"/>
          <w:b/>
          <w:sz w:val="16"/>
          <w:szCs w:val="16"/>
        </w:rPr>
        <w:t xml:space="preserve"> </w:t>
      </w:r>
      <w:r w:rsidRPr="00443BD2">
        <w:rPr>
          <w:rFonts w:cs="Calibri"/>
          <w:sz w:val="16"/>
          <w:szCs w:val="16"/>
        </w:rPr>
        <w:t>Journal of the American Geriatric Society 52:80–85, 2004.</w:t>
      </w:r>
      <w:r w:rsidRPr="00443BD2">
        <w:rPr>
          <w:rFonts w:cs="Calibri"/>
          <w:b/>
          <w:sz w:val="16"/>
          <w:szCs w:val="16"/>
        </w:rPr>
        <w:t>)</w:t>
      </w:r>
    </w:p>
    <w:p w14:paraId="1E73007E" w14:textId="77777777" w:rsidR="00273D09" w:rsidRDefault="00273D09" w:rsidP="00E61F64">
      <w:pPr>
        <w:pStyle w:val="NoSpacing"/>
        <w:ind w:left="720"/>
      </w:pPr>
    </w:p>
    <w:p w14:paraId="3CE69360" w14:textId="77777777" w:rsidR="00273D09" w:rsidRPr="006F7A6F" w:rsidRDefault="00273D09" w:rsidP="006F7A6F">
      <w:pPr>
        <w:pStyle w:val="NoSpacing"/>
        <w:numPr>
          <w:ilvl w:val="0"/>
          <w:numId w:val="5"/>
        </w:numPr>
      </w:pPr>
      <w:r>
        <w:t>A</w:t>
      </w:r>
      <w:r w:rsidRPr="0053340B">
        <w:t>pproximately 20% of</w:t>
      </w:r>
      <w:r>
        <w:t xml:space="preserve"> </w:t>
      </w:r>
      <w:r w:rsidRPr="0053340B">
        <w:t xml:space="preserve">the older </w:t>
      </w:r>
      <w:smartTag w:uri="urn:schemas-microsoft-com:office:smarttags" w:element="place">
        <w:smartTag w:uri="urn:schemas-microsoft-com:office:smarttags" w:element="country-region">
          <w:r w:rsidRPr="0053340B">
            <w:t>U.S.</w:t>
          </w:r>
        </w:smartTag>
      </w:smartTag>
      <w:r w:rsidRPr="0053340B">
        <w:t xml:space="preserve"> population</w:t>
      </w:r>
      <w:r>
        <w:t xml:space="preserve"> </w:t>
      </w:r>
      <w:r w:rsidRPr="0053340B">
        <w:t>is functionally disabled.</w:t>
      </w:r>
      <w:r>
        <w:t xml:space="preserve"> </w:t>
      </w:r>
      <w:r w:rsidRPr="00443BD2">
        <w:rPr>
          <w:rFonts w:cs="Calibri"/>
          <w:sz w:val="16"/>
          <w:szCs w:val="16"/>
        </w:rPr>
        <w:t xml:space="preserve">(Janssen I, Shepard DS,  </w:t>
      </w:r>
      <w:proofErr w:type="spellStart"/>
      <w:r w:rsidRPr="00443BD2">
        <w:rPr>
          <w:rFonts w:cs="Calibri"/>
          <w:sz w:val="16"/>
          <w:szCs w:val="16"/>
        </w:rPr>
        <w:t>Katzmarzyk</w:t>
      </w:r>
      <w:proofErr w:type="spellEnd"/>
      <w:r w:rsidRPr="00443BD2">
        <w:rPr>
          <w:rFonts w:cs="Calibri"/>
          <w:sz w:val="16"/>
          <w:szCs w:val="16"/>
        </w:rPr>
        <w:t xml:space="preserve"> PT, Roubenoff R. The Healthcare Costs of Sarcopenia in the </w:t>
      </w:r>
      <w:smartTag w:uri="urn:schemas-microsoft-com:office:smarttags" w:element="place">
        <w:smartTag w:uri="urn:schemas-microsoft-com:office:smarttags" w:element="country-region">
          <w:r w:rsidRPr="00443BD2">
            <w:rPr>
              <w:rFonts w:cs="Calibri"/>
              <w:sz w:val="16"/>
              <w:szCs w:val="16"/>
            </w:rPr>
            <w:t>United States</w:t>
          </w:r>
        </w:smartTag>
      </w:smartTag>
      <w:r w:rsidRPr="00443BD2">
        <w:rPr>
          <w:rFonts w:cs="Calibri"/>
          <w:sz w:val="16"/>
          <w:szCs w:val="16"/>
        </w:rPr>
        <w:t>.</w:t>
      </w:r>
      <w:r w:rsidRPr="00443BD2">
        <w:rPr>
          <w:rFonts w:cs="Calibri"/>
          <w:b/>
          <w:sz w:val="16"/>
          <w:szCs w:val="16"/>
        </w:rPr>
        <w:t xml:space="preserve"> </w:t>
      </w:r>
      <w:r w:rsidRPr="00443BD2">
        <w:rPr>
          <w:rFonts w:cs="Calibri"/>
          <w:sz w:val="16"/>
          <w:szCs w:val="16"/>
        </w:rPr>
        <w:t>Journal of the American Geriatric Society 52:80–85, 2004.</w:t>
      </w:r>
      <w:r w:rsidRPr="00443BD2">
        <w:rPr>
          <w:rFonts w:cs="Calibri"/>
          <w:b/>
          <w:sz w:val="16"/>
          <w:szCs w:val="16"/>
        </w:rPr>
        <w:t>)</w:t>
      </w:r>
    </w:p>
    <w:p w14:paraId="74B0AD27" w14:textId="77777777" w:rsidR="00273D09" w:rsidRDefault="00273D09" w:rsidP="006F7A6F">
      <w:pPr>
        <w:pStyle w:val="NoSpacing"/>
      </w:pPr>
    </w:p>
    <w:p w14:paraId="38EFA4DC" w14:textId="77777777" w:rsidR="00273D09" w:rsidRDefault="00273D09" w:rsidP="00E61F64">
      <w:pPr>
        <w:pStyle w:val="NoSpacing"/>
        <w:numPr>
          <w:ilvl w:val="0"/>
          <w:numId w:val="5"/>
        </w:numPr>
      </w:pPr>
      <w:r>
        <w:t>T</w:t>
      </w:r>
      <w:r w:rsidRPr="0053340B">
        <w:t>he risk</w:t>
      </w:r>
      <w:r>
        <w:t xml:space="preserve"> </w:t>
      </w:r>
      <w:r w:rsidRPr="0053340B">
        <w:t>of disability is 1.5 to 4.6 times higher in older persons with</w:t>
      </w:r>
      <w:r>
        <w:t xml:space="preserve"> </w:t>
      </w:r>
      <w:r w:rsidRPr="0053340B">
        <w:t>sarcopenia than in older persons with normal muscle.7</w:t>
      </w:r>
      <w:r>
        <w:t xml:space="preserve"> </w:t>
      </w:r>
      <w:r w:rsidRPr="00E61F64">
        <w:rPr>
          <w:rFonts w:cs="Calibri"/>
          <w:sz w:val="16"/>
          <w:szCs w:val="16"/>
        </w:rPr>
        <w:t xml:space="preserve">(Janssen I, Shepard DS, </w:t>
      </w:r>
      <w:proofErr w:type="spellStart"/>
      <w:r w:rsidRPr="00E61F64">
        <w:rPr>
          <w:rFonts w:cs="Calibri"/>
          <w:sz w:val="16"/>
          <w:szCs w:val="16"/>
        </w:rPr>
        <w:t>Katzmarzyk</w:t>
      </w:r>
      <w:proofErr w:type="spellEnd"/>
      <w:r w:rsidRPr="00E61F64">
        <w:rPr>
          <w:rFonts w:cs="Calibri"/>
          <w:sz w:val="16"/>
          <w:szCs w:val="16"/>
        </w:rPr>
        <w:t xml:space="preserve"> PT, Roubenoff R. The Healthcare Costs of Sarcopenia in the </w:t>
      </w:r>
      <w:smartTag w:uri="urn:schemas-microsoft-com:office:smarttags" w:element="place">
        <w:smartTag w:uri="urn:schemas-microsoft-com:office:smarttags" w:element="country-region">
          <w:r w:rsidRPr="00E61F64">
            <w:rPr>
              <w:rFonts w:cs="Calibri"/>
              <w:sz w:val="16"/>
              <w:szCs w:val="16"/>
            </w:rPr>
            <w:t>United States</w:t>
          </w:r>
        </w:smartTag>
      </w:smartTag>
      <w:r w:rsidRPr="00E61F64">
        <w:rPr>
          <w:rFonts w:cs="Calibri"/>
          <w:sz w:val="16"/>
          <w:szCs w:val="16"/>
        </w:rPr>
        <w:t>.</w:t>
      </w:r>
      <w:r w:rsidRPr="00E61F64">
        <w:rPr>
          <w:rFonts w:cs="Calibri"/>
          <w:b/>
          <w:sz w:val="16"/>
          <w:szCs w:val="16"/>
        </w:rPr>
        <w:t xml:space="preserve"> </w:t>
      </w:r>
      <w:r w:rsidRPr="00E61F64">
        <w:rPr>
          <w:rFonts w:cs="Calibri"/>
          <w:sz w:val="16"/>
          <w:szCs w:val="16"/>
        </w:rPr>
        <w:t>Journal of the American Geriatric Society 52:80–85, 2004.</w:t>
      </w:r>
      <w:r w:rsidRPr="00E61F64">
        <w:rPr>
          <w:rFonts w:cs="Calibri"/>
          <w:b/>
          <w:sz w:val="16"/>
          <w:szCs w:val="16"/>
        </w:rPr>
        <w:t>)</w:t>
      </w:r>
    </w:p>
    <w:p w14:paraId="5C9450C8" w14:textId="77777777" w:rsidR="00273D09" w:rsidRDefault="00273D09" w:rsidP="00F841F7">
      <w:pPr>
        <w:pStyle w:val="ListParagraph"/>
      </w:pPr>
    </w:p>
    <w:p w14:paraId="40EBDFB9" w14:textId="77777777" w:rsidR="00273D09" w:rsidRDefault="00273D09" w:rsidP="00E61F64">
      <w:pPr>
        <w:pStyle w:val="NoSpacing"/>
        <w:numPr>
          <w:ilvl w:val="0"/>
          <w:numId w:val="5"/>
        </w:numPr>
      </w:pPr>
      <w:r>
        <w:t xml:space="preserve">Age-related muscle weakness dramatically increases the risk for elderly falling.  A large number of those elderly who fall will not continue living in the community.  One half of accidental deaths among individuals age 65 and older are related to falls. </w:t>
      </w:r>
      <w:r w:rsidRPr="007A685A">
        <w:rPr>
          <w:sz w:val="16"/>
          <w:szCs w:val="16"/>
        </w:rPr>
        <w:t>(</w:t>
      </w:r>
      <w:r>
        <w:rPr>
          <w:sz w:val="16"/>
          <w:szCs w:val="16"/>
        </w:rPr>
        <w:t xml:space="preserve">McArdle, A; Jackson, MJ. </w:t>
      </w:r>
      <w:r>
        <w:rPr>
          <w:i/>
          <w:sz w:val="16"/>
          <w:szCs w:val="16"/>
        </w:rPr>
        <w:t xml:space="preserve">Sarcopenia – Age-Related Muscle Wasting and Weakness (2011), p. 318. </w:t>
      </w:r>
      <w:r>
        <w:rPr>
          <w:sz w:val="16"/>
          <w:szCs w:val="16"/>
        </w:rPr>
        <w:t xml:space="preserve">Gordon S. Lynch (ed.). Springer Science.) </w:t>
      </w:r>
    </w:p>
    <w:p w14:paraId="33F29898" w14:textId="77777777" w:rsidR="00273D09" w:rsidRDefault="00273D09" w:rsidP="00F841F7">
      <w:pPr>
        <w:pStyle w:val="ListParagraph"/>
      </w:pPr>
    </w:p>
    <w:p w14:paraId="7CD4D7A1" w14:textId="77777777" w:rsidR="00273D09" w:rsidRDefault="00273D09" w:rsidP="00E61F64">
      <w:pPr>
        <w:pStyle w:val="NoSpacing"/>
        <w:numPr>
          <w:ilvl w:val="0"/>
          <w:numId w:val="5"/>
        </w:numPr>
      </w:pPr>
      <w:r>
        <w:t xml:space="preserve">Though diet and exercise can reduce the rate of muscle and strength loss, even active seniors will experience decline in muscle function. </w:t>
      </w:r>
      <w:r w:rsidRPr="007A685A">
        <w:rPr>
          <w:sz w:val="16"/>
          <w:szCs w:val="16"/>
        </w:rPr>
        <w:t>(</w:t>
      </w:r>
      <w:r>
        <w:rPr>
          <w:sz w:val="16"/>
          <w:szCs w:val="16"/>
        </w:rPr>
        <w:t xml:space="preserve">McArdle, A; Jackson, MJ. </w:t>
      </w:r>
      <w:r>
        <w:rPr>
          <w:i/>
          <w:sz w:val="16"/>
          <w:szCs w:val="16"/>
        </w:rPr>
        <w:t xml:space="preserve">Sarcopenia – Age-Related Muscle Wasting and Weakness (2011), p. 318. </w:t>
      </w:r>
      <w:r>
        <w:rPr>
          <w:sz w:val="16"/>
          <w:szCs w:val="16"/>
        </w:rPr>
        <w:t>Gordon S. Lynch (ed.). Springer Science.)</w:t>
      </w:r>
    </w:p>
    <w:p w14:paraId="0C614895" w14:textId="77777777" w:rsidR="00273D09" w:rsidRPr="0053340B" w:rsidRDefault="00273D09" w:rsidP="0053340B">
      <w:pPr>
        <w:pStyle w:val="NoSpacing"/>
      </w:pPr>
    </w:p>
    <w:p w14:paraId="0B2A30CF" w14:textId="77777777" w:rsidR="00273D09" w:rsidRPr="00F841F7" w:rsidRDefault="00273D09" w:rsidP="00F841F7">
      <w:pPr>
        <w:pStyle w:val="NoSpacing"/>
        <w:rPr>
          <w:u w:val="single"/>
        </w:rPr>
      </w:pPr>
      <w:r>
        <w:rPr>
          <w:u w:val="single"/>
        </w:rPr>
        <w:t>The Cost of Sarcopenia</w:t>
      </w:r>
      <w:r w:rsidRPr="00F841F7">
        <w:rPr>
          <w:u w:val="single"/>
        </w:rPr>
        <w:t>:</w:t>
      </w:r>
    </w:p>
    <w:p w14:paraId="6C9F1CE9" w14:textId="77777777" w:rsidR="00273D09" w:rsidRPr="00F841F7" w:rsidRDefault="00273D09" w:rsidP="00F841F7">
      <w:pPr>
        <w:pStyle w:val="NoSpacing"/>
        <w:numPr>
          <w:ilvl w:val="0"/>
          <w:numId w:val="7"/>
        </w:numPr>
      </w:pPr>
      <w:r w:rsidRPr="0053340B">
        <w:t xml:space="preserve">The estimated direct healthcare cost attributable to sarcopenia in the </w:t>
      </w:r>
      <w:smartTag w:uri="urn:schemas-microsoft-com:office:smarttags" w:element="place">
        <w:smartTag w:uri="urn:schemas-microsoft-com:office:smarttags" w:element="country-region">
          <w:r w:rsidRPr="0053340B">
            <w:t>United States</w:t>
          </w:r>
        </w:smartTag>
      </w:smartTag>
      <w:r w:rsidRPr="0053340B">
        <w:t xml:space="preserve"> in 2000 was $18.5</w:t>
      </w:r>
      <w:r>
        <w:t xml:space="preserve"> </w:t>
      </w:r>
      <w:r w:rsidRPr="0053340B">
        <w:t xml:space="preserve">billion ($10.8 billion in men, $7.7 billion in women), which represented about 1.5% of total healthcare expenditures for that year.  </w:t>
      </w:r>
      <w:r w:rsidRPr="00443BD2">
        <w:rPr>
          <w:rFonts w:cs="Calibri"/>
          <w:sz w:val="16"/>
          <w:szCs w:val="16"/>
        </w:rPr>
        <w:t xml:space="preserve">(Janssen I, Shepard DS, </w:t>
      </w:r>
      <w:proofErr w:type="spellStart"/>
      <w:r w:rsidRPr="00443BD2">
        <w:rPr>
          <w:rFonts w:cs="Calibri"/>
          <w:sz w:val="16"/>
          <w:szCs w:val="16"/>
        </w:rPr>
        <w:t>Katzmarzyk</w:t>
      </w:r>
      <w:proofErr w:type="spellEnd"/>
      <w:r w:rsidRPr="00443BD2">
        <w:rPr>
          <w:rFonts w:cs="Calibri"/>
          <w:sz w:val="16"/>
          <w:szCs w:val="16"/>
        </w:rPr>
        <w:t xml:space="preserve"> PT, Roubenoff R. The Healthcare Costs of Sarcopenia in the </w:t>
      </w:r>
      <w:smartTag w:uri="urn:schemas-microsoft-com:office:smarttags" w:element="place">
        <w:smartTag w:uri="urn:schemas-microsoft-com:office:smarttags" w:element="country-region">
          <w:r w:rsidRPr="00443BD2">
            <w:rPr>
              <w:rFonts w:cs="Calibri"/>
              <w:sz w:val="16"/>
              <w:szCs w:val="16"/>
            </w:rPr>
            <w:t>United States</w:t>
          </w:r>
        </w:smartTag>
      </w:smartTag>
      <w:r w:rsidRPr="00443BD2">
        <w:rPr>
          <w:rFonts w:cs="Calibri"/>
          <w:sz w:val="16"/>
          <w:szCs w:val="16"/>
        </w:rPr>
        <w:t>.</w:t>
      </w:r>
      <w:r w:rsidRPr="00443BD2">
        <w:rPr>
          <w:rFonts w:cs="Calibri"/>
          <w:b/>
          <w:sz w:val="16"/>
          <w:szCs w:val="16"/>
        </w:rPr>
        <w:t xml:space="preserve"> </w:t>
      </w:r>
      <w:r w:rsidRPr="00443BD2">
        <w:rPr>
          <w:rFonts w:cs="Calibri"/>
          <w:sz w:val="16"/>
          <w:szCs w:val="16"/>
        </w:rPr>
        <w:t>Journal of the American Geriatric Society 52:80–85, 2004.</w:t>
      </w:r>
      <w:r w:rsidRPr="00443BD2">
        <w:rPr>
          <w:rFonts w:cs="Calibri"/>
          <w:b/>
          <w:sz w:val="16"/>
          <w:szCs w:val="16"/>
        </w:rPr>
        <w:t>)</w:t>
      </w:r>
    </w:p>
    <w:p w14:paraId="2F24FAD3" w14:textId="77777777" w:rsidR="00273D09" w:rsidRDefault="00273D09" w:rsidP="00F841F7">
      <w:pPr>
        <w:pStyle w:val="NoSpacing"/>
        <w:ind w:left="720"/>
      </w:pPr>
    </w:p>
    <w:p w14:paraId="38B744F3" w14:textId="77777777" w:rsidR="00273D09" w:rsidRPr="00F841F7" w:rsidRDefault="00273D09" w:rsidP="00F841F7">
      <w:pPr>
        <w:pStyle w:val="NoSpacing"/>
        <w:numPr>
          <w:ilvl w:val="0"/>
          <w:numId w:val="7"/>
        </w:numPr>
      </w:pPr>
      <w:r w:rsidRPr="0053340B">
        <w:t xml:space="preserve">Healthcare expenditures due to sarcopenia cost roughly $900 per person per year </w:t>
      </w:r>
      <w:r w:rsidRPr="00443BD2">
        <w:rPr>
          <w:sz w:val="16"/>
          <w:szCs w:val="16"/>
        </w:rPr>
        <w:t>(Marcell.  Sarcopenia:  Causes, consequences, and preventions.  The Journals of Gerontology 2003; 58: M911-M916)</w:t>
      </w:r>
    </w:p>
    <w:p w14:paraId="69DCDF03" w14:textId="77777777" w:rsidR="00273D09" w:rsidRPr="00A51AE6" w:rsidRDefault="00273D09" w:rsidP="00F841F7">
      <w:pPr>
        <w:pStyle w:val="NoSpacing"/>
      </w:pPr>
    </w:p>
    <w:p w14:paraId="596473E5" w14:textId="77777777" w:rsidR="00273D09" w:rsidRPr="00F841F7" w:rsidRDefault="00273D09" w:rsidP="00F841F7">
      <w:pPr>
        <w:pStyle w:val="NoSpacing"/>
        <w:numPr>
          <w:ilvl w:val="0"/>
          <w:numId w:val="7"/>
        </w:numPr>
        <w:rPr>
          <w:rFonts w:cs="Calibri"/>
          <w:sz w:val="18"/>
          <w:szCs w:val="18"/>
        </w:rPr>
      </w:pPr>
      <w:r w:rsidRPr="00A51AE6">
        <w:rPr>
          <w:rFonts w:cs="Calibri"/>
        </w:rPr>
        <w:t>People with chronic illnesses and activity limitations caused by conditions like sarcopenia have more physician visits and fill more prescriptions than those individuals with no activity limitations, all of which presents a greater burden on our health care system.</w:t>
      </w:r>
      <w:r>
        <w:rPr>
          <w:rFonts w:cs="Calibri"/>
        </w:rPr>
        <w:t xml:space="preserve">  These individuals also have more health visits.</w:t>
      </w:r>
      <w:r>
        <w:rPr>
          <w:rFonts w:cs="Calibri"/>
          <w:sz w:val="18"/>
          <w:szCs w:val="18"/>
        </w:rPr>
        <w:t xml:space="preserve">  </w:t>
      </w:r>
      <w:r w:rsidRPr="00A51AE6">
        <w:rPr>
          <w:rFonts w:cs="Calibri"/>
          <w:sz w:val="16"/>
          <w:szCs w:val="16"/>
        </w:rPr>
        <w:t>(</w:t>
      </w:r>
      <w:smartTag w:uri="urn:schemas-microsoft-com:office:smarttags" w:element="place">
        <w:smartTag w:uri="urn:schemas-microsoft-com:office:smarttags" w:element="City">
          <w:r w:rsidRPr="00A51AE6">
            <w:rPr>
              <w:rFonts w:cs="Calibri"/>
              <w:sz w:val="16"/>
              <w:szCs w:val="16"/>
            </w:rPr>
            <w:t>Alliance</w:t>
          </w:r>
        </w:smartTag>
      </w:smartTag>
      <w:r w:rsidRPr="00A51AE6">
        <w:rPr>
          <w:rFonts w:cs="Calibri"/>
          <w:sz w:val="16"/>
          <w:szCs w:val="16"/>
        </w:rPr>
        <w:t xml:space="preserve"> for Aging Research , </w:t>
      </w:r>
      <w:r w:rsidRPr="00A51AE6">
        <w:rPr>
          <w:rFonts w:cs="Calibri"/>
          <w:i/>
          <w:sz w:val="16"/>
          <w:szCs w:val="16"/>
        </w:rPr>
        <w:t xml:space="preserve">Silver Book: Chronic Disease and Medical Innovation in an Aging Nation </w:t>
      </w:r>
      <w:hyperlink r:id="rId8" w:history="1">
        <w:r w:rsidRPr="00A51AE6">
          <w:rPr>
            <w:rStyle w:val="Hyperlink"/>
            <w:rFonts w:cs="Calibri"/>
            <w:i/>
            <w:sz w:val="16"/>
            <w:szCs w:val="16"/>
          </w:rPr>
          <w:t>http://silverbook.org/browse.php?id=20</w:t>
        </w:r>
      </w:hyperlink>
      <w:r w:rsidRPr="00A51AE6">
        <w:rPr>
          <w:rFonts w:cs="Calibri"/>
          <w:i/>
          <w:sz w:val="16"/>
          <w:szCs w:val="16"/>
        </w:rPr>
        <w:t xml:space="preserve"> </w:t>
      </w:r>
      <w:r>
        <w:rPr>
          <w:rFonts w:cs="Calibri"/>
          <w:i/>
          <w:sz w:val="16"/>
          <w:szCs w:val="16"/>
        </w:rPr>
        <w:t xml:space="preserve"> </w:t>
      </w:r>
      <w:r w:rsidRPr="00A51AE6">
        <w:rPr>
          <w:rFonts w:cs="Calibri"/>
          <w:i/>
          <w:sz w:val="16"/>
          <w:szCs w:val="16"/>
        </w:rPr>
        <w:t>28 September 2011)</w:t>
      </w:r>
    </w:p>
    <w:p w14:paraId="7DBEF10E" w14:textId="77777777" w:rsidR="00273D09" w:rsidRPr="00FD1C57" w:rsidRDefault="00273D09" w:rsidP="00F841F7">
      <w:pPr>
        <w:pStyle w:val="NoSpacing"/>
        <w:rPr>
          <w:rFonts w:cs="Calibri"/>
          <w:sz w:val="18"/>
          <w:szCs w:val="18"/>
        </w:rPr>
      </w:pPr>
    </w:p>
    <w:p w14:paraId="21329043" w14:textId="77777777" w:rsidR="00273D09" w:rsidRPr="00A51AE6" w:rsidRDefault="00273D09" w:rsidP="00F841F7">
      <w:pPr>
        <w:pStyle w:val="NoSpacing"/>
        <w:numPr>
          <w:ilvl w:val="0"/>
          <w:numId w:val="7"/>
        </w:numPr>
        <w:rPr>
          <w:rFonts w:cs="Calibri"/>
          <w:sz w:val="18"/>
          <w:szCs w:val="18"/>
        </w:rPr>
      </w:pPr>
      <w:r>
        <w:t xml:space="preserve">The </w:t>
      </w:r>
      <w:smartTag w:uri="urn:schemas-microsoft-com:office:smarttags" w:element="place">
        <w:smartTag w:uri="urn:schemas-microsoft-com:office:smarttags" w:element="country-region">
          <w:r>
            <w:t>United States</w:t>
          </w:r>
        </w:smartTag>
      </w:smartTag>
      <w:r>
        <w:t xml:space="preserve"> spends more than $26 billion annually on additional health care costs for people over 65 who lose their ability to live independently over the course of a single year.  </w:t>
      </w:r>
      <w:r w:rsidRPr="00FD1C57">
        <w:rPr>
          <w:sz w:val="16"/>
          <w:szCs w:val="16"/>
        </w:rPr>
        <w:t>(</w:t>
      </w:r>
      <w:smartTag w:uri="urn:schemas-microsoft-com:office:smarttags" w:element="place">
        <w:smartTag w:uri="urn:schemas-microsoft-com:office:smarttags" w:element="City">
          <w:r w:rsidRPr="00FD1C57">
            <w:rPr>
              <w:sz w:val="16"/>
              <w:szCs w:val="16"/>
            </w:rPr>
            <w:t>Alliance</w:t>
          </w:r>
        </w:smartTag>
      </w:smartTag>
      <w:r w:rsidRPr="00FD1C57">
        <w:rPr>
          <w:sz w:val="16"/>
          <w:szCs w:val="16"/>
        </w:rPr>
        <w:t xml:space="preserve"> for Aging Research.  </w:t>
      </w:r>
      <w:r w:rsidRPr="00FD1C57">
        <w:rPr>
          <w:i/>
          <w:sz w:val="16"/>
          <w:szCs w:val="16"/>
        </w:rPr>
        <w:t xml:space="preserve">The Silver Book: Chronic Disease and Medical Innovation in an Aging Nation </w:t>
      </w:r>
      <w:hyperlink r:id="rId9" w:history="1">
        <w:r w:rsidRPr="00FD1C57">
          <w:rPr>
            <w:rStyle w:val="Hyperlink"/>
            <w:i/>
            <w:sz w:val="16"/>
            <w:szCs w:val="16"/>
          </w:rPr>
          <w:t>http://silverbook.org/fact/31</w:t>
        </w:r>
      </w:hyperlink>
      <w:r w:rsidRPr="00FD1C57">
        <w:rPr>
          <w:b/>
          <w:i/>
          <w:sz w:val="16"/>
          <w:szCs w:val="16"/>
        </w:rPr>
        <w:t xml:space="preserve">  </w:t>
      </w:r>
      <w:r w:rsidRPr="00FD1C57">
        <w:rPr>
          <w:sz w:val="16"/>
          <w:szCs w:val="16"/>
        </w:rPr>
        <w:t>29 September 2011)</w:t>
      </w:r>
    </w:p>
    <w:p w14:paraId="2BD51CA7" w14:textId="77777777" w:rsidR="00273D09" w:rsidRPr="0053340B" w:rsidRDefault="00273D09" w:rsidP="0053340B">
      <w:pPr>
        <w:pStyle w:val="NoSpacing"/>
        <w:rPr>
          <w:u w:val="single"/>
        </w:rPr>
      </w:pPr>
    </w:p>
    <w:p w14:paraId="29B902FE" w14:textId="77777777" w:rsidR="00273D09" w:rsidRDefault="00273D09" w:rsidP="00F841F7">
      <w:pPr>
        <w:pStyle w:val="NoSpacing"/>
        <w:rPr>
          <w:u w:val="single"/>
        </w:rPr>
      </w:pPr>
      <w:r>
        <w:rPr>
          <w:u w:val="single"/>
        </w:rPr>
        <w:t>Sarcopenia is associated with other chronic conditions:</w:t>
      </w:r>
    </w:p>
    <w:p w14:paraId="39B49953" w14:textId="77777777" w:rsidR="00273D09" w:rsidRDefault="00273D09" w:rsidP="00E8709C">
      <w:pPr>
        <w:pStyle w:val="NoSpacing"/>
        <w:numPr>
          <w:ilvl w:val="0"/>
          <w:numId w:val="8"/>
        </w:numPr>
        <w:rPr>
          <w:sz w:val="16"/>
          <w:szCs w:val="16"/>
        </w:rPr>
      </w:pPr>
      <w:r>
        <w:t xml:space="preserve">A loss in muscle mass is related to metabolic problems such as insulin resistance, type 2 diabetes and obesity. </w:t>
      </w:r>
      <w:r w:rsidRPr="008F3023">
        <w:rPr>
          <w:sz w:val="16"/>
          <w:szCs w:val="16"/>
        </w:rPr>
        <w:t xml:space="preserve">(Rivas, DA; Fielding, RA. </w:t>
      </w:r>
      <w:r>
        <w:rPr>
          <w:i/>
          <w:sz w:val="16"/>
          <w:szCs w:val="16"/>
        </w:rPr>
        <w:t xml:space="preserve">Sarcopenia – Age-Related Muscle Wasting and Weakness (2011), p. 334.  </w:t>
      </w:r>
      <w:r>
        <w:rPr>
          <w:sz w:val="16"/>
          <w:szCs w:val="16"/>
        </w:rPr>
        <w:t>Gordon S. Lynch (ed.). Springer Science.)</w:t>
      </w:r>
    </w:p>
    <w:p w14:paraId="606AD0D4" w14:textId="77777777" w:rsidR="00273D09" w:rsidRDefault="00273D09" w:rsidP="00E8709C">
      <w:pPr>
        <w:pStyle w:val="NoSpacing"/>
        <w:ind w:left="720"/>
        <w:rPr>
          <w:sz w:val="16"/>
          <w:szCs w:val="16"/>
        </w:rPr>
      </w:pPr>
    </w:p>
    <w:p w14:paraId="7CDA4062" w14:textId="77777777" w:rsidR="00273D09" w:rsidRDefault="00273D09" w:rsidP="00E8709C">
      <w:pPr>
        <w:pStyle w:val="NoSpacing"/>
        <w:numPr>
          <w:ilvl w:val="0"/>
          <w:numId w:val="8"/>
        </w:numPr>
        <w:rPr>
          <w:rFonts w:cs="Calibri"/>
          <w:i/>
          <w:sz w:val="16"/>
          <w:szCs w:val="16"/>
        </w:rPr>
      </w:pPr>
      <w:r>
        <w:t xml:space="preserve">By 2030, more than 30 million Americans could have diabetes--71% higher than in 2000. </w:t>
      </w:r>
      <w:r>
        <w:rPr>
          <w:rFonts w:cs="Calibri"/>
          <w:sz w:val="16"/>
          <w:szCs w:val="16"/>
        </w:rPr>
        <w:t>(</w:t>
      </w:r>
      <w:smartTag w:uri="urn:schemas-microsoft-com:office:smarttags" w:element="place">
        <w:smartTag w:uri="urn:schemas-microsoft-com:office:smarttags" w:element="City">
          <w:r>
            <w:rPr>
              <w:rFonts w:cs="Calibri"/>
              <w:sz w:val="16"/>
              <w:szCs w:val="16"/>
            </w:rPr>
            <w:t>Alliance</w:t>
          </w:r>
        </w:smartTag>
      </w:smartTag>
      <w:r>
        <w:rPr>
          <w:rFonts w:cs="Calibri"/>
          <w:sz w:val="16"/>
          <w:szCs w:val="16"/>
        </w:rPr>
        <w:t xml:space="preserve"> for Aging Research</w:t>
      </w:r>
      <w:r w:rsidRPr="00A51AE6">
        <w:rPr>
          <w:rFonts w:cs="Calibri"/>
          <w:sz w:val="16"/>
          <w:szCs w:val="16"/>
        </w:rPr>
        <w:t xml:space="preserve">, </w:t>
      </w:r>
      <w:r w:rsidRPr="00A51AE6">
        <w:rPr>
          <w:rFonts w:cs="Calibri"/>
          <w:i/>
          <w:sz w:val="16"/>
          <w:szCs w:val="16"/>
        </w:rPr>
        <w:t xml:space="preserve">Silver Book: Chronic Disease and Medical Innovation in an Aging Nation </w:t>
      </w:r>
      <w:r w:rsidRPr="00E8709C">
        <w:rPr>
          <w:rFonts w:cs="Calibri"/>
          <w:i/>
          <w:sz w:val="16"/>
          <w:szCs w:val="16"/>
        </w:rPr>
        <w:t>http://silverbook.org/fact/113</w:t>
      </w:r>
      <w:r>
        <w:rPr>
          <w:rFonts w:cs="Calibri"/>
          <w:i/>
          <w:sz w:val="16"/>
          <w:szCs w:val="16"/>
        </w:rPr>
        <w:t xml:space="preserve">  04 October 2011)</w:t>
      </w:r>
    </w:p>
    <w:p w14:paraId="5BE4FAF8" w14:textId="77777777" w:rsidR="00273D09" w:rsidRDefault="00273D09" w:rsidP="00E8709C">
      <w:pPr>
        <w:pStyle w:val="NoSpacing"/>
        <w:rPr>
          <w:rFonts w:cs="Calibri"/>
          <w:i/>
          <w:sz w:val="16"/>
          <w:szCs w:val="16"/>
        </w:rPr>
      </w:pPr>
    </w:p>
    <w:p w14:paraId="7A7CD03C" w14:textId="77777777" w:rsidR="00273D09" w:rsidRDefault="00273D09" w:rsidP="00E8709C">
      <w:pPr>
        <w:pStyle w:val="NoSpacing"/>
        <w:numPr>
          <w:ilvl w:val="0"/>
          <w:numId w:val="8"/>
        </w:numPr>
        <w:rPr>
          <w:rFonts w:cs="Calibri"/>
          <w:i/>
          <w:sz w:val="16"/>
          <w:szCs w:val="16"/>
        </w:rPr>
      </w:pPr>
      <w:r>
        <w:t xml:space="preserve">The annual cost of diabetes, in 2002 dollars, could rise to an estimated $156 billion by 2010, and $192 billion by 2020. </w:t>
      </w:r>
      <w:r>
        <w:rPr>
          <w:rFonts w:cs="Calibri"/>
          <w:sz w:val="16"/>
          <w:szCs w:val="16"/>
        </w:rPr>
        <w:t>(</w:t>
      </w:r>
      <w:smartTag w:uri="urn:schemas-microsoft-com:office:smarttags" w:element="place">
        <w:smartTag w:uri="urn:schemas-microsoft-com:office:smarttags" w:element="City">
          <w:r>
            <w:rPr>
              <w:rFonts w:cs="Calibri"/>
              <w:sz w:val="16"/>
              <w:szCs w:val="16"/>
            </w:rPr>
            <w:t>Alliance</w:t>
          </w:r>
        </w:smartTag>
      </w:smartTag>
      <w:r>
        <w:rPr>
          <w:rFonts w:cs="Calibri"/>
          <w:sz w:val="16"/>
          <w:szCs w:val="16"/>
        </w:rPr>
        <w:t xml:space="preserve"> for Aging Research</w:t>
      </w:r>
      <w:r w:rsidRPr="00A51AE6">
        <w:rPr>
          <w:rFonts w:cs="Calibri"/>
          <w:sz w:val="16"/>
          <w:szCs w:val="16"/>
        </w:rPr>
        <w:t xml:space="preserve">, </w:t>
      </w:r>
      <w:r w:rsidRPr="00A51AE6">
        <w:rPr>
          <w:rFonts w:cs="Calibri"/>
          <w:i/>
          <w:sz w:val="16"/>
          <w:szCs w:val="16"/>
        </w:rPr>
        <w:t xml:space="preserve">Silver Book: Chronic Disease and Medical Innovation in an Aging Nation </w:t>
      </w:r>
      <w:hyperlink r:id="rId10" w:history="1">
        <w:r w:rsidRPr="000A676A">
          <w:rPr>
            <w:rStyle w:val="Hyperlink"/>
            <w:rFonts w:cs="Calibri"/>
            <w:i/>
            <w:sz w:val="16"/>
            <w:szCs w:val="16"/>
          </w:rPr>
          <w:t>http://silverbook.org/fact/115</w:t>
        </w:r>
      </w:hyperlink>
      <w:r>
        <w:rPr>
          <w:rFonts w:cs="Calibri"/>
          <w:i/>
          <w:sz w:val="16"/>
          <w:szCs w:val="16"/>
        </w:rPr>
        <w:t xml:space="preserve">  04 October 2011)</w:t>
      </w:r>
    </w:p>
    <w:p w14:paraId="214D8D54" w14:textId="77777777" w:rsidR="00273D09" w:rsidRDefault="00273D09" w:rsidP="00E8709C">
      <w:pPr>
        <w:pStyle w:val="NoSpacing"/>
        <w:rPr>
          <w:rFonts w:cs="Calibri"/>
          <w:i/>
          <w:sz w:val="16"/>
          <w:szCs w:val="16"/>
        </w:rPr>
      </w:pPr>
    </w:p>
    <w:p w14:paraId="373388FD" w14:textId="77777777" w:rsidR="00273D09" w:rsidRPr="00E8709C" w:rsidRDefault="00273D09" w:rsidP="00E8709C">
      <w:pPr>
        <w:pStyle w:val="NoSpacing"/>
        <w:numPr>
          <w:ilvl w:val="0"/>
          <w:numId w:val="8"/>
        </w:numPr>
      </w:pPr>
      <w:r>
        <w:t xml:space="preserve">Between 2009 and 2034, annual diabetes-related spending is expected to increase from $113 billion to $336 billion (2007 dollars). </w:t>
      </w:r>
      <w:r>
        <w:rPr>
          <w:rFonts w:cs="Calibri"/>
          <w:sz w:val="16"/>
          <w:szCs w:val="16"/>
        </w:rPr>
        <w:t>(</w:t>
      </w:r>
      <w:smartTag w:uri="urn:schemas-microsoft-com:office:smarttags" w:element="place">
        <w:smartTag w:uri="urn:schemas-microsoft-com:office:smarttags" w:element="City">
          <w:r>
            <w:rPr>
              <w:rFonts w:cs="Calibri"/>
              <w:sz w:val="16"/>
              <w:szCs w:val="16"/>
            </w:rPr>
            <w:t>Alliance</w:t>
          </w:r>
        </w:smartTag>
      </w:smartTag>
      <w:r>
        <w:rPr>
          <w:rFonts w:cs="Calibri"/>
          <w:sz w:val="16"/>
          <w:szCs w:val="16"/>
        </w:rPr>
        <w:t xml:space="preserve"> for Aging Research</w:t>
      </w:r>
      <w:r w:rsidRPr="00A51AE6">
        <w:rPr>
          <w:rFonts w:cs="Calibri"/>
          <w:sz w:val="16"/>
          <w:szCs w:val="16"/>
        </w:rPr>
        <w:t xml:space="preserve">, </w:t>
      </w:r>
      <w:r w:rsidRPr="00A51AE6">
        <w:rPr>
          <w:rFonts w:cs="Calibri"/>
          <w:i/>
          <w:sz w:val="16"/>
          <w:szCs w:val="16"/>
        </w:rPr>
        <w:t xml:space="preserve">Silver Book: Chronic Disease and Medical Innovation in an Aging Nation </w:t>
      </w:r>
      <w:hyperlink r:id="rId11" w:history="1">
        <w:r w:rsidRPr="000A676A">
          <w:rPr>
            <w:rStyle w:val="Hyperlink"/>
            <w:rFonts w:cs="Calibri"/>
            <w:i/>
            <w:sz w:val="16"/>
            <w:szCs w:val="16"/>
          </w:rPr>
          <w:t>http://silverbook.org/fact/1931</w:t>
        </w:r>
      </w:hyperlink>
      <w:r>
        <w:rPr>
          <w:rFonts w:cs="Calibri"/>
          <w:i/>
          <w:sz w:val="16"/>
          <w:szCs w:val="16"/>
        </w:rPr>
        <w:t xml:space="preserve">   04 October 2011)</w:t>
      </w:r>
    </w:p>
    <w:p w14:paraId="4F1B1199" w14:textId="77777777" w:rsidR="00273D09" w:rsidRDefault="00273D09" w:rsidP="00F841F7">
      <w:pPr>
        <w:pStyle w:val="NoSpacing"/>
        <w:rPr>
          <w:u w:val="single"/>
        </w:rPr>
      </w:pPr>
    </w:p>
    <w:p w14:paraId="5C7F038E" w14:textId="77777777" w:rsidR="00273D09" w:rsidRPr="00F841F7" w:rsidRDefault="00273D09" w:rsidP="00F841F7">
      <w:pPr>
        <w:pStyle w:val="NoSpacing"/>
        <w:rPr>
          <w:u w:val="single"/>
        </w:rPr>
      </w:pPr>
      <w:r w:rsidRPr="00F841F7">
        <w:rPr>
          <w:u w:val="single"/>
        </w:rPr>
        <w:t>Why we need to act:</w:t>
      </w:r>
    </w:p>
    <w:p w14:paraId="0FB84AC9" w14:textId="77777777" w:rsidR="00273D09" w:rsidRPr="00F841F7" w:rsidRDefault="00273D09" w:rsidP="00F841F7">
      <w:pPr>
        <w:pStyle w:val="NoSpacing"/>
        <w:numPr>
          <w:ilvl w:val="0"/>
          <w:numId w:val="6"/>
        </w:numPr>
      </w:pPr>
      <w:r w:rsidRPr="00F841F7">
        <w:t xml:space="preserve">A 10% reduction in the sarcopenic population would save $1.1 billion </w:t>
      </w:r>
      <w:r w:rsidRPr="00F841F7">
        <w:rPr>
          <w:sz w:val="16"/>
          <w:szCs w:val="16"/>
        </w:rPr>
        <w:t xml:space="preserve">(Janssen I, Shepard DS,  </w:t>
      </w:r>
      <w:proofErr w:type="spellStart"/>
      <w:r w:rsidRPr="00F841F7">
        <w:rPr>
          <w:sz w:val="16"/>
          <w:szCs w:val="16"/>
        </w:rPr>
        <w:t>Katzmarzyk</w:t>
      </w:r>
      <w:proofErr w:type="spellEnd"/>
      <w:r w:rsidRPr="00F841F7">
        <w:rPr>
          <w:sz w:val="16"/>
          <w:szCs w:val="16"/>
        </w:rPr>
        <w:t xml:space="preserve"> PT, Roubenoff R. The Healthcare Costs of Sarcopenia in the </w:t>
      </w:r>
      <w:smartTag w:uri="urn:schemas-microsoft-com:office:smarttags" w:element="place">
        <w:smartTag w:uri="urn:schemas-microsoft-com:office:smarttags" w:element="country-region">
          <w:r w:rsidRPr="00F841F7">
            <w:rPr>
              <w:sz w:val="16"/>
              <w:szCs w:val="16"/>
            </w:rPr>
            <w:t>United States</w:t>
          </w:r>
        </w:smartTag>
      </w:smartTag>
      <w:r w:rsidRPr="00F841F7">
        <w:rPr>
          <w:sz w:val="16"/>
          <w:szCs w:val="16"/>
        </w:rPr>
        <w:t>. Journal of the American Geriatric Society 52:80–85, 2004.)</w:t>
      </w:r>
    </w:p>
    <w:p w14:paraId="2C19BF96" w14:textId="77777777" w:rsidR="00273D09" w:rsidRPr="00F841F7" w:rsidRDefault="00273D09" w:rsidP="00F841F7">
      <w:pPr>
        <w:pStyle w:val="NoSpacing"/>
        <w:ind w:left="720"/>
      </w:pPr>
    </w:p>
    <w:p w14:paraId="72D7AAAA" w14:textId="77777777" w:rsidR="00273D09" w:rsidRDefault="00273D09" w:rsidP="00F841F7">
      <w:pPr>
        <w:pStyle w:val="NoSpacing"/>
        <w:numPr>
          <w:ilvl w:val="0"/>
          <w:numId w:val="6"/>
        </w:numPr>
      </w:pPr>
      <w:r w:rsidRPr="00F841F7">
        <w:t xml:space="preserve">Though sarcopenia contributes to numerous other health problems and accounts for a similar percentage of healthcare costs as osteoporosis, no public health campaigns are directly aimed at reducing the prevalence of sarcopenia.  </w:t>
      </w:r>
      <w:r w:rsidRPr="00F841F7">
        <w:rPr>
          <w:sz w:val="16"/>
          <w:szCs w:val="16"/>
        </w:rPr>
        <w:t xml:space="preserve">(Janssen I, Shepard DS,  </w:t>
      </w:r>
      <w:proofErr w:type="spellStart"/>
      <w:r w:rsidRPr="00F841F7">
        <w:rPr>
          <w:sz w:val="16"/>
          <w:szCs w:val="16"/>
        </w:rPr>
        <w:t>Katzmarzyk</w:t>
      </w:r>
      <w:proofErr w:type="spellEnd"/>
      <w:r w:rsidRPr="00F841F7">
        <w:rPr>
          <w:sz w:val="16"/>
          <w:szCs w:val="16"/>
        </w:rPr>
        <w:t xml:space="preserve"> PT, Roubenoff R. The Healthcare Costs of Sarcopenia in the </w:t>
      </w:r>
      <w:smartTag w:uri="urn:schemas-microsoft-com:office:smarttags" w:element="place">
        <w:smartTag w:uri="urn:schemas-microsoft-com:office:smarttags" w:element="country-region">
          <w:r w:rsidRPr="00F841F7">
            <w:rPr>
              <w:sz w:val="16"/>
              <w:szCs w:val="16"/>
            </w:rPr>
            <w:t>United States</w:t>
          </w:r>
        </w:smartTag>
      </w:smartTag>
      <w:r w:rsidRPr="00F841F7">
        <w:rPr>
          <w:sz w:val="16"/>
          <w:szCs w:val="16"/>
        </w:rPr>
        <w:t>. Journal of the American Geriatric Society 52:80–85, 2004.)</w:t>
      </w:r>
    </w:p>
    <w:p w14:paraId="56BB3F68" w14:textId="77777777" w:rsidR="00273D09" w:rsidRPr="00F841F7" w:rsidRDefault="00273D09" w:rsidP="00F841F7">
      <w:pPr>
        <w:pStyle w:val="NoSpacing"/>
      </w:pPr>
    </w:p>
    <w:p w14:paraId="687C582A" w14:textId="77777777" w:rsidR="00273D09" w:rsidRDefault="00273D09" w:rsidP="00F841F7">
      <w:pPr>
        <w:pStyle w:val="NoSpacing"/>
        <w:numPr>
          <w:ilvl w:val="0"/>
          <w:numId w:val="6"/>
        </w:numPr>
      </w:pPr>
      <w:r w:rsidRPr="00F841F7">
        <w:lastRenderedPageBreak/>
        <w:t xml:space="preserve">Although age-related muscle loss is inevitable, therapies and interventions that can halt or reverse these effects hold great promise and are a realistic possibility.  </w:t>
      </w:r>
      <w:r w:rsidRPr="00F841F7">
        <w:rPr>
          <w:sz w:val="16"/>
          <w:szCs w:val="16"/>
        </w:rPr>
        <w:t>(GS. Lynch (ed.) (2011). Sarcopenia – Age Related Muscle Wasting and Weakness. Springer Science. p. 4)</w:t>
      </w:r>
      <w:r w:rsidRPr="00F841F7">
        <w:t xml:space="preserve"> </w:t>
      </w:r>
    </w:p>
    <w:p w14:paraId="054F25DE" w14:textId="77777777" w:rsidR="00273D09" w:rsidRPr="00F841F7" w:rsidRDefault="00273D09" w:rsidP="00F841F7">
      <w:pPr>
        <w:pStyle w:val="NoSpacing"/>
      </w:pPr>
    </w:p>
    <w:p w14:paraId="486C6A9F" w14:textId="77777777" w:rsidR="00273D09" w:rsidRPr="00F841F7" w:rsidRDefault="00273D09" w:rsidP="00F841F7">
      <w:pPr>
        <w:pStyle w:val="NoSpacing"/>
        <w:numPr>
          <w:ilvl w:val="0"/>
          <w:numId w:val="6"/>
        </w:numPr>
      </w:pPr>
      <w:r w:rsidRPr="00F841F7">
        <w:t>Preserving the independence and physical function of the aging population not only preserves the quality of life of older individuals but will also save our nation billions of dollars in health care costs.</w:t>
      </w:r>
    </w:p>
    <w:p w14:paraId="02433FB7" w14:textId="77777777" w:rsidR="00273D09" w:rsidRPr="0053340B" w:rsidRDefault="00273D09" w:rsidP="0053340B">
      <w:pPr>
        <w:pStyle w:val="NoSpacing"/>
      </w:pPr>
    </w:p>
    <w:p w14:paraId="68EFFCCF" w14:textId="77777777" w:rsidR="00273D09" w:rsidRPr="0053340B" w:rsidRDefault="00273D09" w:rsidP="0053340B">
      <w:pPr>
        <w:pStyle w:val="NoSpacing"/>
      </w:pPr>
    </w:p>
    <w:sectPr w:rsidR="00273D09" w:rsidRPr="0053340B" w:rsidSect="00B3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27D"/>
    <w:multiLevelType w:val="hybridMultilevel"/>
    <w:tmpl w:val="20B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13A"/>
    <w:multiLevelType w:val="hybridMultilevel"/>
    <w:tmpl w:val="D4E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944B8"/>
    <w:multiLevelType w:val="hybridMultilevel"/>
    <w:tmpl w:val="F2C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04503"/>
    <w:multiLevelType w:val="hybridMultilevel"/>
    <w:tmpl w:val="846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0E7C"/>
    <w:multiLevelType w:val="hybridMultilevel"/>
    <w:tmpl w:val="CC0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9540F"/>
    <w:multiLevelType w:val="hybridMultilevel"/>
    <w:tmpl w:val="0BB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274BF"/>
    <w:multiLevelType w:val="hybridMultilevel"/>
    <w:tmpl w:val="239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E39F2"/>
    <w:multiLevelType w:val="hybridMultilevel"/>
    <w:tmpl w:val="900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TKxNLAwMzazNLZQ0lEKTi0uzszPAykwrAUAqXPEbywAAAA="/>
  </w:docVars>
  <w:rsids>
    <w:rsidRoot w:val="00D54947"/>
    <w:rsid w:val="00023D68"/>
    <w:rsid w:val="000A676A"/>
    <w:rsid w:val="001D79A4"/>
    <w:rsid w:val="001E7A5B"/>
    <w:rsid w:val="00273D09"/>
    <w:rsid w:val="002D1A5C"/>
    <w:rsid w:val="00374DC9"/>
    <w:rsid w:val="003850BF"/>
    <w:rsid w:val="00443BD2"/>
    <w:rsid w:val="0051075E"/>
    <w:rsid w:val="0053340B"/>
    <w:rsid w:val="006A3309"/>
    <w:rsid w:val="006C4396"/>
    <w:rsid w:val="006F7A6F"/>
    <w:rsid w:val="0077692A"/>
    <w:rsid w:val="007A685A"/>
    <w:rsid w:val="00842563"/>
    <w:rsid w:val="008F3023"/>
    <w:rsid w:val="00A51AE6"/>
    <w:rsid w:val="00A712B4"/>
    <w:rsid w:val="00A83E59"/>
    <w:rsid w:val="00AB43CE"/>
    <w:rsid w:val="00AC414A"/>
    <w:rsid w:val="00AC5D02"/>
    <w:rsid w:val="00B16BC7"/>
    <w:rsid w:val="00B31EF6"/>
    <w:rsid w:val="00B754E3"/>
    <w:rsid w:val="00C414F9"/>
    <w:rsid w:val="00D54947"/>
    <w:rsid w:val="00E61F64"/>
    <w:rsid w:val="00E855F6"/>
    <w:rsid w:val="00E8709C"/>
    <w:rsid w:val="00F841F7"/>
    <w:rsid w:val="00F975F8"/>
    <w:rsid w:val="00FD1C57"/>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301BCA"/>
  <w15:docId w15:val="{01F984A7-D7B2-482E-BD0A-FA455335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E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4947"/>
  </w:style>
  <w:style w:type="paragraph" w:customStyle="1" w:styleId="style15">
    <w:name w:val="style15"/>
    <w:basedOn w:val="Normal"/>
    <w:uiPriority w:val="99"/>
    <w:rsid w:val="00A83E5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374DC9"/>
    <w:pPr>
      <w:ind w:left="720"/>
      <w:contextualSpacing/>
    </w:pPr>
  </w:style>
  <w:style w:type="character" w:styleId="Hyperlink">
    <w:name w:val="Hyperlink"/>
    <w:basedOn w:val="DefaultParagraphFont"/>
    <w:uiPriority w:val="99"/>
    <w:rsid w:val="006C4396"/>
    <w:rPr>
      <w:rFonts w:cs="Times New Roman"/>
      <w:color w:val="0000FF"/>
      <w:u w:val="single"/>
    </w:rPr>
  </w:style>
  <w:style w:type="paragraph" w:styleId="BalloonText">
    <w:name w:val="Balloon Text"/>
    <w:basedOn w:val="Normal"/>
    <w:link w:val="BalloonTextChar"/>
    <w:uiPriority w:val="99"/>
    <w:semiHidden/>
    <w:rsid w:val="006C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verbook.org/browse.php?i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a.gov/aoaroot/aging_statistics/Profile/2010/4.aspx%2028%20Sept%20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lverbook.org/fact/1931" TargetMode="External"/><Relationship Id="rId5" Type="http://schemas.openxmlformats.org/officeDocument/2006/relationships/image" Target="media/image1.jpeg"/><Relationship Id="rId10" Type="http://schemas.openxmlformats.org/officeDocument/2006/relationships/hyperlink" Target="http://silverbook.org/fact/115" TargetMode="External"/><Relationship Id="rId4" Type="http://schemas.openxmlformats.org/officeDocument/2006/relationships/webSettings" Target="webSettings.xml"/><Relationship Id="rId9" Type="http://schemas.openxmlformats.org/officeDocument/2006/relationships/hyperlink" Target="http://silverbook.org/fac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Bowman</dc:creator>
  <cp:keywords/>
  <dc:description/>
  <cp:lastModifiedBy>Ryne Carney</cp:lastModifiedBy>
  <cp:revision>3</cp:revision>
  <dcterms:created xsi:type="dcterms:W3CDTF">2016-12-20T18:04:00Z</dcterms:created>
  <dcterms:modified xsi:type="dcterms:W3CDTF">2020-04-06T13:15:00Z</dcterms:modified>
</cp:coreProperties>
</file>